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A2" w:rsidRPr="00CB6C2D" w:rsidRDefault="00275AA2" w:rsidP="00275AA2">
      <w:pPr>
        <w:pStyle w:val="NoSpacing"/>
        <w:rPr>
          <w:sz w:val="28"/>
          <w:szCs w:val="28"/>
        </w:rPr>
      </w:pPr>
      <w:r w:rsidRPr="00CB6C2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C2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B6C2D">
        <w:rPr>
          <w:sz w:val="28"/>
          <w:szCs w:val="28"/>
        </w:rPr>
        <w:t>Republika</w:t>
      </w:r>
      <w:proofErr w:type="spellEnd"/>
      <w:r w:rsidRPr="00CB6C2D">
        <w:rPr>
          <w:sz w:val="28"/>
          <w:szCs w:val="28"/>
        </w:rPr>
        <w:t xml:space="preserve">  </w:t>
      </w:r>
      <w:proofErr w:type="spellStart"/>
      <w:r w:rsidRPr="00CB6C2D">
        <w:rPr>
          <w:sz w:val="28"/>
          <w:szCs w:val="28"/>
        </w:rPr>
        <w:t>eKosovës</w:t>
      </w:r>
      <w:proofErr w:type="spellEnd"/>
      <w:proofErr w:type="gramEnd"/>
    </w:p>
    <w:p w:rsidR="00275AA2" w:rsidRPr="00CB6C2D" w:rsidRDefault="00275AA2" w:rsidP="00275AA2">
      <w:pPr>
        <w:tabs>
          <w:tab w:val="left" w:pos="7490"/>
        </w:tabs>
        <w:rPr>
          <w:b/>
          <w:sz w:val="28"/>
          <w:szCs w:val="28"/>
        </w:rPr>
      </w:pPr>
      <w:r w:rsidRPr="00CB6C2D">
        <w:rPr>
          <w:b/>
          <w:sz w:val="28"/>
          <w:szCs w:val="28"/>
        </w:rPr>
        <w:t>Komuna e  Malishevës</w:t>
      </w:r>
    </w:p>
    <w:p w:rsidR="00275AA2" w:rsidRDefault="00275AA2" w:rsidP="00275AA2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275AA2" w:rsidRPr="006C31F2" w:rsidRDefault="00275AA2" w:rsidP="00275AA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 w:rsidR="003626F0">
        <w:rPr>
          <w:rFonts w:ascii="Times New Roman" w:hAnsi="Times New Roman" w:cs="Times New Roman"/>
          <w:i/>
          <w:sz w:val="18"/>
          <w:szCs w:val="18"/>
        </w:rPr>
        <w:t xml:space="preserve"> 11/653</w:t>
      </w:r>
    </w:p>
    <w:p w:rsidR="00275AA2" w:rsidRDefault="00275AA2" w:rsidP="00275AA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 w:rsidR="003626F0">
        <w:rPr>
          <w:rFonts w:ascii="Times New Roman" w:hAnsi="Times New Roman" w:cs="Times New Roman"/>
          <w:i/>
          <w:sz w:val="18"/>
          <w:szCs w:val="18"/>
        </w:rPr>
        <w:t>;05.08.2020</w:t>
      </w:r>
    </w:p>
    <w:p w:rsidR="00275AA2" w:rsidRPr="006C31F2" w:rsidRDefault="00275AA2" w:rsidP="00275AA2">
      <w:pPr>
        <w:shd w:val="clear" w:color="auto" w:fill="FFFFFF"/>
        <w:tabs>
          <w:tab w:val="left" w:pos="2540"/>
          <w:tab w:val="center" w:pos="4789"/>
          <w:tab w:val="left" w:pos="7490"/>
        </w:tabs>
        <w:ind w:left="-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Në bazë të nenit 8, paragrafi 1 dhe 2  të Ligjit të Punës, nr. 03/L-212,( G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zeta Zyrtare e Republikës së Kosovës, </w:t>
      </w:r>
      <w:proofErr w:type="spellStart"/>
      <w:r w:rsidRPr="006C31F2">
        <w:rPr>
          <w:rFonts w:ascii="Times New Roman" w:hAnsi="Times New Roman" w:cs="Times New Roman"/>
          <w:i/>
          <w:sz w:val="24"/>
          <w:szCs w:val="24"/>
        </w:rPr>
        <w:t>Nr.90/2010</w:t>
      </w:r>
      <w:proofErr w:type="spellEnd"/>
      <w:r w:rsidRPr="006C31F2">
        <w:rPr>
          <w:rFonts w:ascii="Times New Roman" w:hAnsi="Times New Roman" w:cs="Times New Roman"/>
          <w:i/>
          <w:sz w:val="24"/>
          <w:szCs w:val="24"/>
        </w:rPr>
        <w:t>), Neni 5 pikës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c. të Ligjit për Arsimin në Komunat e Republikës së Kosovës, nr. 03/L-068, </w:t>
      </w:r>
      <w:r>
        <w:rPr>
          <w:rFonts w:ascii="Times New Roman" w:hAnsi="Times New Roman" w:cs="Times New Roman"/>
          <w:i/>
          <w:sz w:val="24"/>
          <w:szCs w:val="24"/>
        </w:rPr>
        <w:t xml:space="preserve"> Udhëzimit Administrativ ( MPMS)</w:t>
      </w:r>
      <w:r w:rsidR="00F11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Nr.07/2017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për rregullimin e Procedurave të Konkursit Publik Neni 4. Udhëzimit Administrativ MASHT Nr. 10/2018 datë: 20.07.2018 Për Normativin Mbi Kuadrin  Profesional  të  Arsimit të  Përgjithshëm.  </w:t>
      </w:r>
      <w:r w:rsidRPr="006C31F2">
        <w:rPr>
          <w:rFonts w:ascii="Times New Roman" w:hAnsi="Times New Roman" w:cs="Times New Roman"/>
          <w:i/>
          <w:sz w:val="24"/>
          <w:szCs w:val="24"/>
        </w:rPr>
        <w:t>Drejtoria për Arsim dhe Edukim shpall:</w:t>
      </w:r>
    </w:p>
    <w:p w:rsidR="00275AA2" w:rsidRPr="006C31F2" w:rsidRDefault="00275AA2" w:rsidP="00275AA2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  <w:sz w:val="24"/>
          <w:szCs w:val="24"/>
        </w:rPr>
      </w:pPr>
      <w:r w:rsidRPr="006C31F2"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275AA2" w:rsidRDefault="00275AA2" w:rsidP="00275AA2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Për plotësimin  e vend</w:t>
      </w:r>
      <w:r>
        <w:rPr>
          <w:rFonts w:ascii="Times New Roman" w:hAnsi="Times New Roman" w:cs="Times New Roman"/>
          <w:i/>
          <w:sz w:val="24"/>
          <w:szCs w:val="24"/>
        </w:rPr>
        <w:t xml:space="preserve">eve  </w:t>
      </w:r>
      <w:r w:rsidRPr="006C31F2">
        <w:rPr>
          <w:rFonts w:ascii="Times New Roman" w:hAnsi="Times New Roman" w:cs="Times New Roman"/>
          <w:i/>
          <w:sz w:val="24"/>
          <w:szCs w:val="24"/>
        </w:rPr>
        <w:t>të punës</w:t>
      </w:r>
    </w:p>
    <w:p w:rsidR="00275AA2" w:rsidRPr="006C31F2" w:rsidRDefault="00275AA2" w:rsidP="00275AA2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Viti shkollor 20</w:t>
      </w:r>
      <w:r w:rsidR="00F118CC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>/202</w:t>
      </w:r>
      <w:r w:rsidR="00F118CC">
        <w:rPr>
          <w:rFonts w:ascii="Times New Roman" w:hAnsi="Times New Roman" w:cs="Times New Roman"/>
          <w:i/>
          <w:sz w:val="24"/>
          <w:szCs w:val="24"/>
        </w:rPr>
        <w:t>1</w:t>
      </w:r>
    </w:p>
    <w:tbl>
      <w:tblPr>
        <w:tblW w:w="108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230"/>
        <w:gridCol w:w="1890"/>
        <w:gridCol w:w="2160"/>
        <w:gridCol w:w="1170"/>
        <w:gridCol w:w="720"/>
      </w:tblGrid>
      <w:tr w:rsidR="006973C0" w:rsidRPr="006C31F2" w:rsidTr="00DF42EE">
        <w:trPr>
          <w:trHeight w:val="728"/>
        </w:trPr>
        <w:tc>
          <w:tcPr>
            <w:tcW w:w="720" w:type="dxa"/>
          </w:tcPr>
          <w:p w:rsidR="006973C0" w:rsidRPr="00E107A9" w:rsidRDefault="006973C0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4230" w:type="dxa"/>
          </w:tcPr>
          <w:p w:rsidR="006973C0" w:rsidRPr="00E107A9" w:rsidRDefault="006973C0" w:rsidP="00B2037E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Niveli, Shkolla</w:t>
            </w:r>
          </w:p>
        </w:tc>
        <w:tc>
          <w:tcPr>
            <w:tcW w:w="1890" w:type="dxa"/>
          </w:tcPr>
          <w:p w:rsidR="006973C0" w:rsidRPr="00E107A9" w:rsidRDefault="006973C0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Pozita</w:t>
            </w:r>
          </w:p>
        </w:tc>
        <w:tc>
          <w:tcPr>
            <w:tcW w:w="2160" w:type="dxa"/>
          </w:tcPr>
          <w:p w:rsidR="006973C0" w:rsidRPr="00E107A9" w:rsidRDefault="006973C0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lirë/zëvendësim</w:t>
            </w:r>
          </w:p>
        </w:tc>
        <w:tc>
          <w:tcPr>
            <w:tcW w:w="1170" w:type="dxa"/>
          </w:tcPr>
          <w:p w:rsidR="006973C0" w:rsidRPr="00E107A9" w:rsidRDefault="006973C0" w:rsidP="00B2037E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Numri i pozitave</w:t>
            </w:r>
          </w:p>
        </w:tc>
        <w:tc>
          <w:tcPr>
            <w:tcW w:w="720" w:type="dxa"/>
          </w:tcPr>
          <w:p w:rsidR="006973C0" w:rsidRPr="00E107A9" w:rsidRDefault="006973C0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orë</w:t>
            </w:r>
          </w:p>
        </w:tc>
      </w:tr>
      <w:tr w:rsidR="001F37D5" w:rsidRPr="006C31F2" w:rsidTr="00DF42EE">
        <w:trPr>
          <w:trHeight w:val="225"/>
        </w:trPr>
        <w:tc>
          <w:tcPr>
            <w:tcW w:w="720" w:type="dxa"/>
          </w:tcPr>
          <w:p w:rsidR="001F37D5" w:rsidRPr="001F37D5" w:rsidRDefault="00B53064" w:rsidP="00BC1AFE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30" w:type="dxa"/>
          </w:tcPr>
          <w:p w:rsidR="001F37D5" w:rsidRPr="001F37D5" w:rsidRDefault="001F37D5" w:rsidP="00C31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37D5">
              <w:rPr>
                <w:rFonts w:ascii="Times New Roman" w:hAnsi="Times New Roman" w:cs="Times New Roman"/>
                <w:sz w:val="16"/>
                <w:szCs w:val="16"/>
              </w:rPr>
              <w:t xml:space="preserve">SHFMU" </w:t>
            </w:r>
            <w:r w:rsidR="00C310DF">
              <w:rPr>
                <w:rFonts w:ascii="Times New Roman" w:hAnsi="Times New Roman" w:cs="Times New Roman"/>
                <w:sz w:val="16"/>
                <w:szCs w:val="16"/>
              </w:rPr>
              <w:t>18 Prilli</w:t>
            </w:r>
            <w:r w:rsidRPr="001F37D5">
              <w:rPr>
                <w:rFonts w:ascii="Times New Roman" w:hAnsi="Times New Roman" w:cs="Times New Roman"/>
                <w:sz w:val="16"/>
                <w:szCs w:val="16"/>
              </w:rPr>
              <w:t xml:space="preserve">" në </w:t>
            </w:r>
            <w:r w:rsidR="00C310DF">
              <w:rPr>
                <w:rFonts w:ascii="Times New Roman" w:hAnsi="Times New Roman" w:cs="Times New Roman"/>
                <w:sz w:val="16"/>
                <w:szCs w:val="16"/>
              </w:rPr>
              <w:t>Burim</w:t>
            </w:r>
          </w:p>
        </w:tc>
        <w:tc>
          <w:tcPr>
            <w:tcW w:w="1890" w:type="dxa"/>
          </w:tcPr>
          <w:p w:rsidR="001F37D5" w:rsidRPr="001F37D5" w:rsidRDefault="001F37D5" w:rsidP="00BC1AF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37D5">
              <w:rPr>
                <w:rFonts w:ascii="Times New Roman" w:hAnsi="Times New Roman" w:cs="Times New Roman"/>
                <w:sz w:val="16"/>
                <w:szCs w:val="16"/>
              </w:rPr>
              <w:t>Mësim klasorë</w:t>
            </w:r>
          </w:p>
        </w:tc>
        <w:tc>
          <w:tcPr>
            <w:tcW w:w="2160" w:type="dxa"/>
          </w:tcPr>
          <w:p w:rsidR="001F37D5" w:rsidRPr="001F37D5" w:rsidRDefault="001F37D5" w:rsidP="002C2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37D5">
              <w:rPr>
                <w:rFonts w:ascii="Times New Roman" w:hAnsi="Times New Roman" w:cs="Times New Roman"/>
                <w:sz w:val="16"/>
                <w:szCs w:val="16"/>
              </w:rPr>
              <w:t xml:space="preserve">Zëvendësim i lehonisë </w:t>
            </w:r>
          </w:p>
        </w:tc>
        <w:tc>
          <w:tcPr>
            <w:tcW w:w="1170" w:type="dxa"/>
          </w:tcPr>
          <w:p w:rsidR="001F37D5" w:rsidRPr="001F37D5" w:rsidRDefault="001F37D5" w:rsidP="00DF42EE">
            <w:pPr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1F37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:rsidR="001F37D5" w:rsidRPr="001F37D5" w:rsidRDefault="001F37D5" w:rsidP="00BC1AF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37D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1F37D5" w:rsidRPr="006C31F2" w:rsidTr="00DF42EE">
        <w:trPr>
          <w:trHeight w:val="255"/>
        </w:trPr>
        <w:tc>
          <w:tcPr>
            <w:tcW w:w="720" w:type="dxa"/>
          </w:tcPr>
          <w:p w:rsidR="001F37D5" w:rsidRPr="001F37D5" w:rsidRDefault="00B53064" w:rsidP="00BC1AFE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30" w:type="dxa"/>
          </w:tcPr>
          <w:p w:rsidR="001F37D5" w:rsidRPr="001F37D5" w:rsidRDefault="001F37D5" w:rsidP="00C31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37D5">
              <w:rPr>
                <w:rFonts w:ascii="Times New Roman" w:hAnsi="Times New Roman" w:cs="Times New Roman"/>
                <w:sz w:val="16"/>
                <w:szCs w:val="16"/>
              </w:rPr>
              <w:t xml:space="preserve">SHFMU" </w:t>
            </w:r>
            <w:proofErr w:type="spellStart"/>
            <w:r w:rsidR="00C310DF">
              <w:rPr>
                <w:rFonts w:ascii="Times New Roman" w:hAnsi="Times New Roman" w:cs="Times New Roman"/>
                <w:sz w:val="16"/>
                <w:szCs w:val="16"/>
              </w:rPr>
              <w:t>Emin</w:t>
            </w:r>
            <w:proofErr w:type="spellEnd"/>
            <w:r w:rsidR="00C31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310DF">
              <w:rPr>
                <w:rFonts w:ascii="Times New Roman" w:hAnsi="Times New Roman" w:cs="Times New Roman"/>
                <w:sz w:val="16"/>
                <w:szCs w:val="16"/>
              </w:rPr>
              <w:t>Duraku</w:t>
            </w:r>
            <w:proofErr w:type="spellEnd"/>
            <w:r w:rsidR="00C310DF">
              <w:rPr>
                <w:rFonts w:ascii="Times New Roman" w:hAnsi="Times New Roman" w:cs="Times New Roman"/>
                <w:sz w:val="16"/>
                <w:szCs w:val="16"/>
              </w:rPr>
              <w:t xml:space="preserve">" në </w:t>
            </w:r>
            <w:proofErr w:type="spellStart"/>
            <w:r w:rsidR="00C310DF">
              <w:rPr>
                <w:rFonts w:ascii="Times New Roman" w:hAnsi="Times New Roman" w:cs="Times New Roman"/>
                <w:sz w:val="16"/>
                <w:szCs w:val="16"/>
              </w:rPr>
              <w:t>Dragobil</w:t>
            </w:r>
            <w:proofErr w:type="spellEnd"/>
          </w:p>
        </w:tc>
        <w:tc>
          <w:tcPr>
            <w:tcW w:w="1890" w:type="dxa"/>
          </w:tcPr>
          <w:p w:rsidR="001F37D5" w:rsidRPr="001F37D5" w:rsidRDefault="001F37D5" w:rsidP="00BC1AF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37D5">
              <w:rPr>
                <w:rFonts w:ascii="Times New Roman" w:hAnsi="Times New Roman" w:cs="Times New Roman"/>
                <w:sz w:val="16"/>
                <w:szCs w:val="16"/>
              </w:rPr>
              <w:t>Mësim klasorë</w:t>
            </w:r>
          </w:p>
        </w:tc>
        <w:tc>
          <w:tcPr>
            <w:tcW w:w="2160" w:type="dxa"/>
          </w:tcPr>
          <w:p w:rsidR="001F37D5" w:rsidRPr="001F37D5" w:rsidRDefault="001F37D5" w:rsidP="00BC1AF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37D5">
              <w:rPr>
                <w:rFonts w:ascii="Times New Roman" w:hAnsi="Times New Roman" w:cs="Times New Roman"/>
                <w:sz w:val="16"/>
                <w:szCs w:val="16"/>
              </w:rPr>
              <w:t>Zëvendësim i lehonisë</w:t>
            </w:r>
          </w:p>
        </w:tc>
        <w:tc>
          <w:tcPr>
            <w:tcW w:w="1170" w:type="dxa"/>
          </w:tcPr>
          <w:p w:rsidR="001F37D5" w:rsidRPr="001F37D5" w:rsidRDefault="001F37D5" w:rsidP="00DF42EE">
            <w:pPr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1F37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:rsidR="001F37D5" w:rsidRPr="001F37D5" w:rsidRDefault="001F37D5" w:rsidP="00BC1AF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37D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:rsidR="001F37D5" w:rsidRDefault="001F37D5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AA2" w:rsidRPr="00140537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b/>
          <w:sz w:val="24"/>
          <w:szCs w:val="24"/>
        </w:rPr>
        <w:t>Aplikacionit i bashkëngjiten këto dokumente: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Formulari i aplikimit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Rezymeja personale (CV)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Dokumenti personal(letërnjoftimi ose pasaporta)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 xml:space="preserve">Diplomat e kualifikimit(ose certifikatat), certifikatat në vend të diplomës jo më të vjetra se gjashtë muaj. 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Certifikata që nuk jeni nën hetime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Dëshmitë e përvojës në institucionet arsimore ( nëse ka)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32"/>
          <w:szCs w:val="32"/>
          <w:lang w:val="sq-AL"/>
        </w:rPr>
        <w:t>c</w:t>
      </w:r>
      <w:r w:rsidRPr="00140537">
        <w:rPr>
          <w:rFonts w:ascii="Times New Roman" w:hAnsi="Times New Roman"/>
          <w:sz w:val="24"/>
          <w:szCs w:val="24"/>
          <w:lang w:val="sq-AL"/>
        </w:rPr>
        <w:t xml:space="preserve">ertifikata e lindjes </w:t>
      </w:r>
    </w:p>
    <w:p w:rsidR="00930B1B" w:rsidRPr="00930B1B" w:rsidRDefault="00930B1B" w:rsidP="00275AA2">
      <w:pPr>
        <w:jc w:val="both"/>
        <w:rPr>
          <w:b/>
        </w:rPr>
      </w:pPr>
      <w:r w:rsidRPr="00930B1B">
        <w:rPr>
          <w:b/>
        </w:rPr>
        <w:t xml:space="preserve">II. Kushtet dhe kriteret e përzgjedhjes së kandidatëve të stafit mësimor </w:t>
      </w:r>
    </w:p>
    <w:p w:rsidR="00930B1B" w:rsidRPr="00140537" w:rsidRDefault="00930B1B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>Përzgjedhja e kandidatëve do të bëhet në bazë të kritereve të përcaktuara me akte juridike që e rregullojnë fushën e arsimit parauniversitar (Ligji Nr 04/L-032 dhe , Ligji Nr. 03/L-068) dhe në përputhje me Udhëzimin Administrativ përkatës të MASHT-it (UA Nr 10/2018) si dhe procedurave të përcaktuara me kornizën ligjore për rregullimin e marrëdhënies së punës në sektorin publik.</w:t>
      </w:r>
    </w:p>
    <w:p w:rsidR="00275AA2" w:rsidRDefault="00275AA2" w:rsidP="00275AA2">
      <w:pPr>
        <w:pStyle w:val="ListParagraph"/>
        <w:numPr>
          <w:ilvl w:val="0"/>
          <w:numId w:val="2"/>
        </w:numPr>
        <w:ind w:left="0" w:firstLine="0"/>
        <w:jc w:val="both"/>
        <w:rPr>
          <w:rFonts w:ascii="Andalus" w:hAnsi="Andalus" w:cs="Andalus"/>
          <w:lang w:val="sq-AL"/>
        </w:rPr>
      </w:pPr>
      <w:r w:rsidRPr="0063555B">
        <w:rPr>
          <w:rFonts w:ascii="Times New Roman" w:hAnsi="Times New Roman"/>
          <w:b/>
          <w:sz w:val="24"/>
          <w:szCs w:val="24"/>
          <w:lang w:val="sq-AL"/>
        </w:rPr>
        <w:t>Kriteret e kualifikimit: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Për vendin e punës </w:t>
      </w:r>
      <w:r w:rsidR="000B0D4C">
        <w:rPr>
          <w:rFonts w:ascii="Times New Roman" w:hAnsi="Times New Roman"/>
          <w:sz w:val="24"/>
          <w:szCs w:val="24"/>
          <w:lang w:val="sq-AL"/>
        </w:rPr>
        <w:t>program fillor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kërkohet kualifikimet: </w:t>
      </w:r>
      <w:r w:rsidRPr="0063555B">
        <w:rPr>
          <w:rFonts w:ascii="Times New Roman" w:hAnsi="Times New Roman"/>
          <w:b/>
          <w:sz w:val="24"/>
          <w:szCs w:val="24"/>
          <w:lang w:val="sq-AL"/>
        </w:rPr>
        <w:t>Fakulteti i Edukimit- programi fillor; Fakulteti i Mësuesisë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3555B">
        <w:rPr>
          <w:rFonts w:ascii="Andalus" w:hAnsi="Andalus" w:cs="Andalus"/>
          <w:lang w:val="sq-AL"/>
        </w:rPr>
        <w:t>ashtu siç planifikohet me UA të MASHT-it për Normativin mbi kuadrin profesional të arsimit të përgjithshëm Nr. 10</w:t>
      </w:r>
      <w:r>
        <w:rPr>
          <w:rFonts w:ascii="Andalus" w:hAnsi="Andalus" w:cs="Andalus"/>
          <w:lang w:val="sq-AL"/>
        </w:rPr>
        <w:t>/2018</w:t>
      </w:r>
      <w:r w:rsidRPr="0063555B">
        <w:rPr>
          <w:rFonts w:ascii="Andalus" w:hAnsi="Andalus" w:cs="Andalus"/>
          <w:lang w:val="sq-AL"/>
        </w:rPr>
        <w:t xml:space="preserve"> datë </w:t>
      </w:r>
      <w:r>
        <w:rPr>
          <w:rFonts w:ascii="Andalus" w:hAnsi="Andalus" w:cs="Andalus"/>
          <w:lang w:val="sq-AL"/>
        </w:rPr>
        <w:t>20</w:t>
      </w:r>
      <w:r w:rsidRPr="0063555B">
        <w:rPr>
          <w:rFonts w:ascii="Andalus" w:hAnsi="Andalus" w:cs="Andalus"/>
          <w:lang w:val="sq-AL"/>
        </w:rPr>
        <w:t>.07.2018</w:t>
      </w:r>
      <w:r>
        <w:rPr>
          <w:rFonts w:ascii="Andalus" w:hAnsi="Andalus" w:cs="Andalus"/>
          <w:lang w:val="sq-AL"/>
        </w:rPr>
        <w:t>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Vetëm në mungesë të kandidatëve nga sqarimi i lartcekur, do  të shqyrtohen edhe aplikacionet e kandidatëve me kualifikim më të përafërt.</w:t>
      </w:r>
    </w:p>
    <w:p w:rsidR="00275AA2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III. Mosplotësimi i saktë dhe i qartë i formularit të aplikimit, aplikacionet e pakompletuar dhe ato që dorëzohen pas afatit të konkursit nuk do të merren në shqyrtim, përkatësisht refuzohen.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lastRenderedPageBreak/>
        <w:t>Si informata të sakta dhe të vërteta do të konsiderohen vetëm ato informata, të cilat janë të dëshmuara me dokumente( jo ata që janë vetëm të deklaruara pa dëshmi)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SQARIM: Kandidatët  mund të konkurrojnë  në më  shumë shkolla, por me dokumente të veçanta.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Personat që kanë diplomuar jashtë Kosovës duhet të kanë diplomat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nostrifikuara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në MASHT.</w:t>
      </w:r>
    </w:p>
    <w:p w:rsidR="00275AA2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Për intervistë do të ftohën ata kandidatë të cilët i plotësojnë kushtet sipas akteve ligjore të cekura.</w:t>
      </w:r>
    </w:p>
    <w:p w:rsidR="00BE4506" w:rsidRPr="00140537" w:rsidRDefault="00BE4506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Pas plotësimit të dispozitave ligjore dhe kritereve të konkursit publik, kandidatët do t’i nënshtrohen testimit me shkrim dhe testit me gojë sipas nenit 10 dhe 11 të Udhëzimit Administrativ nr. </w:t>
      </w:r>
      <w:proofErr w:type="spellStart"/>
      <w:r>
        <w:t>Nr.07/2017</w:t>
      </w:r>
      <w:proofErr w:type="spellEnd"/>
      <w:r>
        <w:t>, për Rregullimin e Procedurave të Konkursit në Sektorin Publik.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Lista e ngushtë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që ftohen për intervistë dhe orari i intervistave publikohet në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- faqen e Komunës së Malishevës.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Të gjitha dokumentet duhet të jenë kopje dhe ato nuk kthehen, ndërsa origjinalet do të kërkohen me rastin 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intervistimit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.</w:t>
      </w:r>
    </w:p>
    <w:p w:rsidR="00275AA2" w:rsidRPr="001D5820" w:rsidRDefault="00275AA2" w:rsidP="00275AA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D5820">
        <w:rPr>
          <w:rFonts w:ascii="Times New Roman" w:hAnsi="Times New Roman" w:cs="Times New Roman"/>
          <w:b/>
          <w:sz w:val="20"/>
          <w:szCs w:val="20"/>
        </w:rPr>
        <w:t>Afati dhe mënyra e aplikimit</w:t>
      </w:r>
    </w:p>
    <w:p w:rsidR="00275AA2" w:rsidRPr="001D5820" w:rsidRDefault="00275AA2" w:rsidP="00275AA2">
      <w:pPr>
        <w:jc w:val="both"/>
        <w:rPr>
          <w:rFonts w:ascii="Times New Roman" w:hAnsi="Times New Roman" w:cs="Times New Roman"/>
          <w:sz w:val="20"/>
          <w:szCs w:val="20"/>
        </w:rPr>
      </w:pPr>
      <w:r w:rsidRPr="001D5820">
        <w:rPr>
          <w:rFonts w:ascii="Times New Roman" w:hAnsi="Times New Roman" w:cs="Times New Roman"/>
          <w:sz w:val="20"/>
          <w:szCs w:val="20"/>
        </w:rPr>
        <w:t>Konkursi mbetet i hapur 15 ditë nga dita e shpalljes së konkursit në mjetet e informimit publik, duke filluar nga data e publikimit më</w:t>
      </w:r>
      <w:r w:rsidRPr="001D582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2522E8">
        <w:rPr>
          <w:rFonts w:ascii="Times New Roman" w:hAnsi="Times New Roman" w:cs="Times New Roman"/>
          <w:b/>
          <w:sz w:val="20"/>
          <w:szCs w:val="20"/>
        </w:rPr>
        <w:t>05</w:t>
      </w:r>
      <w:r w:rsidR="001D5820">
        <w:rPr>
          <w:rFonts w:ascii="Times New Roman" w:hAnsi="Times New Roman" w:cs="Times New Roman"/>
          <w:b/>
          <w:sz w:val="20"/>
          <w:szCs w:val="20"/>
        </w:rPr>
        <w:t>.0</w:t>
      </w:r>
      <w:r w:rsidR="00C310DF">
        <w:rPr>
          <w:rFonts w:ascii="Times New Roman" w:hAnsi="Times New Roman" w:cs="Times New Roman"/>
          <w:b/>
          <w:sz w:val="20"/>
          <w:szCs w:val="20"/>
        </w:rPr>
        <w:t>8</w:t>
      </w:r>
      <w:r w:rsidR="001D5820">
        <w:rPr>
          <w:rFonts w:ascii="Times New Roman" w:hAnsi="Times New Roman" w:cs="Times New Roman"/>
          <w:b/>
          <w:sz w:val="20"/>
          <w:szCs w:val="20"/>
        </w:rPr>
        <w:t>.20</w:t>
      </w:r>
      <w:r w:rsidR="00DE4232">
        <w:rPr>
          <w:rFonts w:ascii="Times New Roman" w:hAnsi="Times New Roman" w:cs="Times New Roman"/>
          <w:b/>
          <w:sz w:val="20"/>
          <w:szCs w:val="20"/>
        </w:rPr>
        <w:t>20</w:t>
      </w:r>
      <w:r w:rsidR="00333AA1" w:rsidRPr="001D5820">
        <w:rPr>
          <w:rFonts w:ascii="Times New Roman" w:hAnsi="Times New Roman" w:cs="Times New Roman"/>
          <w:b/>
          <w:sz w:val="20"/>
          <w:szCs w:val="20"/>
        </w:rPr>
        <w:t xml:space="preserve"> deri </w:t>
      </w:r>
      <w:r w:rsidRPr="001D5820">
        <w:rPr>
          <w:rFonts w:ascii="Times New Roman" w:hAnsi="Times New Roman" w:cs="Times New Roman"/>
          <w:b/>
          <w:sz w:val="20"/>
          <w:szCs w:val="20"/>
        </w:rPr>
        <w:t>më datën</w:t>
      </w:r>
      <w:r w:rsidR="002522E8">
        <w:rPr>
          <w:rFonts w:ascii="Times New Roman" w:hAnsi="Times New Roman" w:cs="Times New Roman"/>
          <w:b/>
          <w:sz w:val="20"/>
          <w:szCs w:val="20"/>
        </w:rPr>
        <w:t>:19.08.2020</w:t>
      </w:r>
    </w:p>
    <w:p w:rsidR="00275AA2" w:rsidRPr="001D5820" w:rsidRDefault="00275AA2" w:rsidP="00275AA2">
      <w:pPr>
        <w:jc w:val="both"/>
        <w:rPr>
          <w:rFonts w:ascii="Times New Roman" w:hAnsi="Times New Roman" w:cs="Times New Roman"/>
          <w:sz w:val="20"/>
          <w:szCs w:val="20"/>
        </w:rPr>
      </w:pPr>
      <w:r w:rsidRPr="001D5820">
        <w:rPr>
          <w:rFonts w:ascii="Times New Roman" w:hAnsi="Times New Roman" w:cs="Times New Roman"/>
          <w:sz w:val="20"/>
          <w:szCs w:val="20"/>
        </w:rPr>
        <w:t>Aplikacioni i kompletuar (me të gjitha dokumentet e kërkuara) duhet të dorëzohet përmes protokollit,përkatësisht përmes zyrës së pritjes së palëve, në objektin e ri të Komunës së Malishevës.</w:t>
      </w:r>
    </w:p>
    <w:p w:rsidR="00275AA2" w:rsidRPr="001D5820" w:rsidRDefault="00275AA2" w:rsidP="00275AA2">
      <w:pPr>
        <w:tabs>
          <w:tab w:val="left" w:pos="66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820">
        <w:rPr>
          <w:rFonts w:ascii="Times New Roman" w:hAnsi="Times New Roman" w:cs="Times New Roman"/>
          <w:sz w:val="20"/>
          <w:szCs w:val="20"/>
        </w:rPr>
        <w:tab/>
      </w:r>
    </w:p>
    <w:p w:rsidR="00275AA2" w:rsidRPr="008F4C0B" w:rsidRDefault="00275AA2" w:rsidP="00275AA2">
      <w:pPr>
        <w:tabs>
          <w:tab w:val="left" w:pos="613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5AA2" w:rsidRPr="008F4C0B" w:rsidRDefault="00275AA2" w:rsidP="00275AA2">
      <w:pPr>
        <w:tabs>
          <w:tab w:val="left" w:pos="6328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276E15" w:rsidRDefault="00276E15"/>
    <w:sectPr w:rsidR="00276E15" w:rsidSect="001F37D5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B5D"/>
    <w:multiLevelType w:val="hybridMultilevel"/>
    <w:tmpl w:val="33B03C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5AA2"/>
    <w:rsid w:val="00011A28"/>
    <w:rsid w:val="0004355E"/>
    <w:rsid w:val="00073895"/>
    <w:rsid w:val="0008592C"/>
    <w:rsid w:val="000A4880"/>
    <w:rsid w:val="000B0D4C"/>
    <w:rsid w:val="000E5DAA"/>
    <w:rsid w:val="000F0EC8"/>
    <w:rsid w:val="00145A42"/>
    <w:rsid w:val="00176BCA"/>
    <w:rsid w:val="001A17FC"/>
    <w:rsid w:val="001D5820"/>
    <w:rsid w:val="001F277D"/>
    <w:rsid w:val="001F37D5"/>
    <w:rsid w:val="00200541"/>
    <w:rsid w:val="00200CEB"/>
    <w:rsid w:val="00204DEE"/>
    <w:rsid w:val="00234C60"/>
    <w:rsid w:val="002522E8"/>
    <w:rsid w:val="0025300E"/>
    <w:rsid w:val="0025365C"/>
    <w:rsid w:val="00275AA2"/>
    <w:rsid w:val="00276E15"/>
    <w:rsid w:val="002B5657"/>
    <w:rsid w:val="002C2600"/>
    <w:rsid w:val="002F4F26"/>
    <w:rsid w:val="00333AA1"/>
    <w:rsid w:val="003626F0"/>
    <w:rsid w:val="003C2DF2"/>
    <w:rsid w:val="004A5595"/>
    <w:rsid w:val="00502B95"/>
    <w:rsid w:val="005259A8"/>
    <w:rsid w:val="00577FAF"/>
    <w:rsid w:val="005A4EFF"/>
    <w:rsid w:val="005B3363"/>
    <w:rsid w:val="005E2FB6"/>
    <w:rsid w:val="00616426"/>
    <w:rsid w:val="00636630"/>
    <w:rsid w:val="00656CD7"/>
    <w:rsid w:val="006973C0"/>
    <w:rsid w:val="00716057"/>
    <w:rsid w:val="00721EE4"/>
    <w:rsid w:val="007221E0"/>
    <w:rsid w:val="007244F7"/>
    <w:rsid w:val="00790F18"/>
    <w:rsid w:val="007D37E2"/>
    <w:rsid w:val="00853F43"/>
    <w:rsid w:val="008F374F"/>
    <w:rsid w:val="00910914"/>
    <w:rsid w:val="00930B1B"/>
    <w:rsid w:val="00951CF9"/>
    <w:rsid w:val="009E7AE5"/>
    <w:rsid w:val="00A52810"/>
    <w:rsid w:val="00A75841"/>
    <w:rsid w:val="00A91442"/>
    <w:rsid w:val="00B2037E"/>
    <w:rsid w:val="00B43410"/>
    <w:rsid w:val="00B53064"/>
    <w:rsid w:val="00B807C4"/>
    <w:rsid w:val="00B970F9"/>
    <w:rsid w:val="00BB7ED6"/>
    <w:rsid w:val="00BC6AF4"/>
    <w:rsid w:val="00BE4506"/>
    <w:rsid w:val="00BF5CC2"/>
    <w:rsid w:val="00C11764"/>
    <w:rsid w:val="00C310DF"/>
    <w:rsid w:val="00C54B58"/>
    <w:rsid w:val="00C918B8"/>
    <w:rsid w:val="00CE0585"/>
    <w:rsid w:val="00D12608"/>
    <w:rsid w:val="00D23342"/>
    <w:rsid w:val="00D8146E"/>
    <w:rsid w:val="00D81A2C"/>
    <w:rsid w:val="00DD2956"/>
    <w:rsid w:val="00DE4232"/>
    <w:rsid w:val="00DF42EE"/>
    <w:rsid w:val="00DF76F9"/>
    <w:rsid w:val="00E11D96"/>
    <w:rsid w:val="00E346A2"/>
    <w:rsid w:val="00E40696"/>
    <w:rsid w:val="00E665C6"/>
    <w:rsid w:val="00E771AA"/>
    <w:rsid w:val="00E80F02"/>
    <w:rsid w:val="00E86A7A"/>
    <w:rsid w:val="00F118CC"/>
    <w:rsid w:val="00F964D5"/>
    <w:rsid w:val="00FC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A2"/>
    <w:pPr>
      <w:jc w:val="center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AA2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qFormat/>
    <w:rsid w:val="00275AA2"/>
    <w:pPr>
      <w:spacing w:after="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Artan</cp:lastModifiedBy>
  <cp:revision>2</cp:revision>
  <cp:lastPrinted>2020-07-27T08:34:00Z</cp:lastPrinted>
  <dcterms:created xsi:type="dcterms:W3CDTF">2020-08-05T08:50:00Z</dcterms:created>
  <dcterms:modified xsi:type="dcterms:W3CDTF">2020-08-05T08:50:00Z</dcterms:modified>
</cp:coreProperties>
</file>